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4ED1C">
      <w:pPr>
        <w:pStyle w:val="2"/>
        <w:jc w:val="center"/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4064000" cy="1307465"/>
            <wp:effectExtent l="0" t="0" r="5080" b="3175"/>
            <wp:docPr id="1" name="Imagen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1307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E9A2890">
      <w:pPr>
        <w:pStyle w:val="2"/>
        <w:jc w:val="center"/>
      </w:pPr>
      <w:r>
        <w:t>Proyecto de Investigación Formativa</w:t>
      </w:r>
    </w:p>
    <w:p w14:paraId="5D8557BD">
      <w:pPr>
        <w:jc w:val="center"/>
      </w:pPr>
      <w:r>
        <w:t>VidaFitBox</w:t>
      </w:r>
      <w:r>
        <w:br w:type="textWrapping"/>
      </w:r>
      <w:r>
        <w:br w:type="textWrapping"/>
      </w:r>
    </w:p>
    <w:p w14:paraId="6157A31F">
      <w:pPr>
        <w:jc w:val="center"/>
        <w:rPr>
          <w:rFonts w:hint="default"/>
          <w:lang w:val="es-EC"/>
        </w:rPr>
      </w:pPr>
      <w:r>
        <w:t>Nombre</w:t>
      </w:r>
      <w:r>
        <w:rPr>
          <w:rFonts w:hint="default"/>
          <w:lang w:val="es-EC"/>
        </w:rPr>
        <w:t xml:space="preserve">s: Nicolas Flores, Anna ochoa,Alejandro Aguirre,Angie Calle,Cristina Gavilanes </w:t>
      </w:r>
    </w:p>
    <w:p w14:paraId="5DC0886F">
      <w:pPr>
        <w:jc w:val="center"/>
        <w:rPr>
          <w:rFonts w:hint="default"/>
          <w:lang w:val="es-EC"/>
        </w:rPr>
      </w:pPr>
      <w:r>
        <w:t xml:space="preserve">Docente: </w:t>
      </w:r>
      <w:r>
        <w:rPr>
          <w:rFonts w:hint="default"/>
          <w:lang w:val="es-EC"/>
        </w:rPr>
        <w:t>Maria Elisa Muñoz</w:t>
      </w:r>
    </w:p>
    <w:p w14:paraId="6A40341B">
      <w:pPr>
        <w:jc w:val="center"/>
        <w:rPr>
          <w:rFonts w:hint="default"/>
          <w:lang w:val="es-EC"/>
        </w:rPr>
      </w:pPr>
      <w:r>
        <w:t xml:space="preserve">Asignatura: </w:t>
      </w:r>
      <w:r>
        <w:rPr>
          <w:rFonts w:hint="default"/>
          <w:lang w:val="es-EC"/>
        </w:rPr>
        <w:t>administración</w:t>
      </w:r>
    </w:p>
    <w:p w14:paraId="51EE129C">
      <w:pPr>
        <w:jc w:val="center"/>
        <w:rPr>
          <w:rFonts w:hint="default"/>
          <w:lang w:val="es-EC"/>
        </w:rPr>
      </w:pPr>
      <w:r>
        <w:rPr>
          <w:rFonts w:hint="default"/>
          <w:lang w:val="es-EC"/>
        </w:rPr>
        <w:t>10/7/26</w:t>
      </w:r>
    </w:p>
    <w:p w14:paraId="76F7D086">
      <w:r>
        <w:br w:type="page"/>
      </w:r>
    </w:p>
    <w:p w14:paraId="6EB4FB57">
      <w:pPr>
        <w:pStyle w:val="2"/>
      </w:pPr>
      <w:r>
        <w:t>Índice</w:t>
      </w:r>
    </w:p>
    <w:p w14:paraId="24241EC4">
      <w:r>
        <w:t>1. Dirección</w:t>
      </w:r>
    </w:p>
    <w:p w14:paraId="075AEDAF">
      <w:r>
        <w:t xml:space="preserve">   Misión</w:t>
      </w:r>
    </w:p>
    <w:p w14:paraId="106BC41D">
      <w:r>
        <w:t xml:space="preserve">   Visión</w:t>
      </w:r>
    </w:p>
    <w:p w14:paraId="0D28806D">
      <w:r>
        <w:t xml:space="preserve">   Objetivos</w:t>
      </w:r>
    </w:p>
    <w:p w14:paraId="2E8886E6">
      <w:r>
        <w:t xml:space="preserve">   Objetivo general</w:t>
      </w:r>
    </w:p>
    <w:p w14:paraId="416C5CF1">
      <w:r>
        <w:t xml:space="preserve">   Objetivos específicos</w:t>
      </w:r>
    </w:p>
    <w:p w14:paraId="5FC7CE21">
      <w:r>
        <w:t xml:space="preserve">   FODA</w:t>
      </w:r>
    </w:p>
    <w:p w14:paraId="1919F66F">
      <w:r>
        <w:t>2. Organización</w:t>
      </w:r>
    </w:p>
    <w:p w14:paraId="09BC1BF2">
      <w:r>
        <w:t xml:space="preserve">   Organigrama</w:t>
      </w:r>
    </w:p>
    <w:p w14:paraId="340EFF26">
      <w:r>
        <w:t>3. Dirección: Estilo de liderazgo</w:t>
      </w:r>
    </w:p>
    <w:p w14:paraId="718AC5C4">
      <w:r>
        <w:t>4. Control</w:t>
      </w:r>
    </w:p>
    <w:p w14:paraId="67D3989C">
      <w:r>
        <w:t xml:space="preserve">   KPI 1</w:t>
      </w:r>
    </w:p>
    <w:p w14:paraId="5C3CB494">
      <w:r>
        <w:t xml:space="preserve">   KPI 2</w:t>
      </w:r>
    </w:p>
    <w:p w14:paraId="5AD77A60">
      <w:r>
        <w:t xml:space="preserve">   KPI 3</w:t>
      </w:r>
    </w:p>
    <w:p w14:paraId="395C84BB">
      <w:r>
        <w:t xml:space="preserve">   Herramientas digitales</w:t>
      </w:r>
    </w:p>
    <w:p w14:paraId="1EEA6617">
      <w:r>
        <w:t>5. Responsabilidad Social Empresarial (RSE)</w:t>
      </w:r>
    </w:p>
    <w:p w14:paraId="49747149">
      <w:r>
        <w:t>6. Conclusión</w:t>
      </w:r>
    </w:p>
    <w:p w14:paraId="2C3A3D46">
      <w:r>
        <w:br w:type="page"/>
      </w:r>
    </w:p>
    <w:p w14:paraId="6A9CEBFE">
      <w:r>
        <w:t>1. Dirección</w:t>
      </w:r>
      <w:r>
        <w:br w:type="textWrapping"/>
      </w:r>
      <w:r>
        <w:br w:type="textWrapping"/>
      </w:r>
      <w:r>
        <w:t>Misión</w:t>
      </w:r>
      <w:r>
        <w:br w:type="textWrapping"/>
      </w:r>
      <w:r>
        <w:t>Brindar una alimentación saludable, práctica y accesible mediante cajas de comidas balanceadas elaboradas con ingredientes frescos y de alta calidad. Nuestro objetivo es mejorar el estilo de vida de nuestros clientes ofreciendo planes personalizados que se adapten a sus necesidades nutricionales, promoviendo el bienestar y el cuidado de la salud.</w:t>
      </w:r>
      <w:r>
        <w:br w:type="textWrapping"/>
      </w:r>
      <w:r>
        <w:br w:type="textWrapping"/>
      </w:r>
      <w:r>
        <w:t>Visión</w:t>
      </w:r>
      <w:r>
        <w:br w:type="textWrapping"/>
      </w:r>
      <w:r>
        <w:t>Ser la empresa líder en Ecuador en la comercialización de cajas de alimentación saludable, reconocida por su innovación, calidad, compromiso con la sostenibilidad y excelente atención al cliente. Buscamos expandirnos a nivel nacional y convertirnos en una marca referente en alimentación saludable.</w:t>
      </w:r>
      <w:r>
        <w:br w:type="textWrapping"/>
      </w:r>
      <w:r>
        <w:br w:type="textWrapping"/>
      </w:r>
      <w:r>
        <w:t>Objetivos</w:t>
      </w:r>
      <w:r>
        <w:br w:type="textWrapping"/>
      </w:r>
      <w:r>
        <w:br w:type="textWrapping"/>
      </w:r>
      <w:r>
        <w:t>Objetivo general</w:t>
      </w:r>
      <w:r>
        <w:br w:type="textWrapping"/>
      </w:r>
      <w:r>
        <w:t>• Promover hábitos de alimentación saludable mediante la venta de cajas de comidas nutritivas y personalizadas.</w:t>
      </w:r>
      <w:r>
        <w:br w:type="textWrapping"/>
      </w:r>
      <w:r>
        <w:br w:type="textWrapping"/>
      </w:r>
      <w:r>
        <w:t>Objetivos específicos</w:t>
      </w:r>
      <w:r>
        <w:br w:type="textWrapping"/>
      </w:r>
      <w:r>
        <w:t>• Incrementar las ventas mediante estrategias de marketing digital.</w:t>
      </w:r>
      <w:r>
        <w:br w:type="textWrapping"/>
      </w:r>
      <w:r>
        <w:t>• Ofrecer productos frescos y de alta calidad.</w:t>
      </w:r>
      <w:r>
        <w:br w:type="textWrapping"/>
      </w:r>
      <w:r>
        <w:t>• Fidelizar clientes con un excelente servicio.</w:t>
      </w:r>
      <w:r>
        <w:br w:type="textWrapping"/>
      </w:r>
      <w:r>
        <w:t>• Desarrollar opciones para diferentes estilos de alimentación como fitness, vegana y vegetariana.</w:t>
      </w:r>
      <w:r>
        <w:br w:type="textWrapping"/>
      </w:r>
      <w:r>
        <w:t>• Reducir el impacto ambiental utilizando empaques reciclables.</w:t>
      </w:r>
      <w:r>
        <w:br w:type="textWrapping"/>
      </w:r>
      <w:r>
        <w:br w:type="textWrapping"/>
      </w:r>
      <w:r>
        <w:t>FODA</w:t>
      </w:r>
      <w:r>
        <w:br w:type="textWrapping"/>
      </w:r>
      <w:r>
        <w:br w:type="textWrapping"/>
      </w:r>
      <w:r>
        <w:t>Fortalezas</w:t>
      </w:r>
      <w:r>
        <w:br w:type="textWrapping"/>
      </w:r>
      <w:r>
        <w:t>• Productos saludables y de excelente calidad.</w:t>
      </w:r>
      <w:r>
        <w:br w:type="textWrapping"/>
      </w:r>
      <w:r>
        <w:t>• Planes personalizados según las necesidades del cliente.</w:t>
      </w:r>
      <w:r>
        <w:br w:type="textWrapping"/>
      </w:r>
      <w:r>
        <w:t>• Atención por WhatsApp y página web.</w:t>
      </w:r>
      <w:r>
        <w:br w:type="textWrapping"/>
      </w:r>
      <w:r>
        <w:t>• Ingredientes frescos.</w:t>
      </w:r>
      <w:r>
        <w:br w:type="textWrapping"/>
      </w:r>
      <w:r>
        <w:t>• Imagen moderna y atractiva.</w:t>
      </w:r>
      <w:r>
        <w:br w:type="textWrapping"/>
      </w:r>
      <w:r>
        <w:br w:type="textWrapping"/>
      </w:r>
      <w:r>
        <w:t>Oportunidades</w:t>
      </w:r>
      <w:r>
        <w:br w:type="textWrapping"/>
      </w:r>
      <w:r>
        <w:t>• Crecimiento del mercado de alimentación saludable.</w:t>
      </w:r>
      <w:r>
        <w:br w:type="textWrapping"/>
      </w:r>
      <w:r>
        <w:t>• Mayor uso de compras en línea.</w:t>
      </w:r>
      <w:r>
        <w:br w:type="textWrapping"/>
      </w:r>
      <w:r>
        <w:t>• Alianzas con gimnasios, nutricionistas y empresas.</w:t>
      </w:r>
      <w:r>
        <w:br w:type="textWrapping"/>
      </w:r>
      <w:r>
        <w:t>• Expansión hacia otras ciudades del país.</w:t>
      </w:r>
      <w:r>
        <w:br w:type="textWrapping"/>
      </w:r>
      <w:r>
        <w:br w:type="textWrapping"/>
      </w:r>
      <w:r>
        <w:t>Debilidades</w:t>
      </w:r>
      <w:r>
        <w:br w:type="textWrapping"/>
      </w:r>
      <w:r>
        <w:t>• Marca nueva con poco reconocimiento.</w:t>
      </w:r>
      <w:r>
        <w:br w:type="textWrapping"/>
      </w:r>
      <w:r>
        <w:t>• Inversión inicial elevada.</w:t>
      </w:r>
      <w:r>
        <w:br w:type="textWrapping"/>
      </w:r>
      <w:r>
        <w:t>• Dependencia de proveedores de alimentos frescos.</w:t>
      </w:r>
      <w:r>
        <w:br w:type="textWrapping"/>
      </w:r>
      <w:r>
        <w:t>• Presupuesto limitado para publicidad.</w:t>
      </w:r>
      <w:r>
        <w:br w:type="textWrapping"/>
      </w:r>
      <w:r>
        <w:br w:type="textWrapping"/>
      </w:r>
      <w:r>
        <w:t>Amenazas</w:t>
      </w:r>
      <w:r>
        <w:br w:type="textWrapping"/>
      </w:r>
      <w:r>
        <w:t>• Competencia de restaurantes saludables.</w:t>
      </w:r>
      <w:r>
        <w:br w:type="textWrapping"/>
      </w:r>
      <w:r>
        <w:t>• Incremento del costo de los alimentos.</w:t>
      </w:r>
      <w:r>
        <w:br w:type="textWrapping"/>
      </w:r>
      <w:r>
        <w:t>• Cambios en las preferencias del consumidor.</w:t>
      </w:r>
      <w:r>
        <w:br w:type="textWrapping"/>
      </w:r>
      <w:r>
        <w:t>• Situación económica del país.</w:t>
      </w:r>
      <w:r>
        <w:br w:type="textWrapping"/>
      </w:r>
      <w:r>
        <w:br w:type="textWrapping"/>
      </w:r>
      <w:r>
        <w:t>2. Organización</w:t>
      </w:r>
      <w:r>
        <w:br w:type="textWrapping"/>
      </w:r>
      <w:r>
        <w:br w:type="textWrapping"/>
      </w:r>
      <w:r>
        <w:t>Organigrama</w:t>
      </w:r>
      <w:r>
        <w:br w:type="textWrapping"/>
      </w:r>
      <w:r>
        <w:br w:type="textWrapping"/>
      </w:r>
      <w:r>
        <w:t>Gerente General</w:t>
      </w:r>
      <w:r>
        <w:br w:type="textWrapping"/>
      </w:r>
      <w:r>
        <w:t>• Responsable de la administración y toma de decisiones.</w:t>
      </w:r>
      <w:r>
        <w:br w:type="textWrapping"/>
      </w:r>
      <w:r>
        <w:br w:type="textWrapping"/>
      </w:r>
      <w:r>
        <w:t>Área de Producción</w:t>
      </w:r>
      <w:r>
        <w:br w:type="textWrapping"/>
      </w:r>
      <w:r>
        <w:t>• Preparación de los alimentos.</w:t>
      </w:r>
      <w:r>
        <w:br w:type="textWrapping"/>
      </w:r>
      <w:r>
        <w:t>• Control de calidad.</w:t>
      </w:r>
      <w:r>
        <w:br w:type="textWrapping"/>
      </w:r>
      <w:r>
        <w:t>• Empaque de las cajas.</w:t>
      </w:r>
      <w:r>
        <w:br w:type="textWrapping"/>
      </w:r>
      <w:r>
        <w:br w:type="textWrapping"/>
      </w:r>
      <w:r>
        <w:t>Área de Marketing y Ventas</w:t>
      </w:r>
      <w:r>
        <w:br w:type="textWrapping"/>
      </w:r>
      <w:r>
        <w:t>• Redes sociales.</w:t>
      </w:r>
      <w:r>
        <w:br w:type="textWrapping"/>
      </w:r>
      <w:r>
        <w:t>• Página web.</w:t>
      </w:r>
      <w:r>
        <w:br w:type="textWrapping"/>
      </w:r>
      <w:r>
        <w:t>• Atención al cliente.</w:t>
      </w:r>
      <w:r>
        <w:br w:type="textWrapping"/>
      </w:r>
      <w:r>
        <w:t>• Publicidad digital.</w:t>
      </w:r>
      <w:r>
        <w:br w:type="textWrapping"/>
      </w:r>
      <w:r>
        <w:br w:type="textWrapping"/>
      </w:r>
      <w:r>
        <w:t>Área Financiera</w:t>
      </w:r>
      <w:r>
        <w:br w:type="textWrapping"/>
      </w:r>
      <w:r>
        <w:t>• Presupuestos.</w:t>
      </w:r>
      <w:r>
        <w:br w:type="textWrapping"/>
      </w:r>
      <w:r>
        <w:t>• Control de ingresos y gastos.</w:t>
      </w:r>
      <w:r>
        <w:br w:type="textWrapping"/>
      </w:r>
      <w:r>
        <w:t>• Pago a proveedores.</w:t>
      </w:r>
      <w:r>
        <w:br w:type="textWrapping"/>
      </w:r>
      <w:r>
        <w:br w:type="textWrapping"/>
      </w:r>
      <w:r>
        <w:t>Área de Logística</w:t>
      </w:r>
      <w:r>
        <w:br w:type="textWrapping"/>
      </w:r>
      <w:r>
        <w:t>• Preparación de pedidos.</w:t>
      </w:r>
      <w:r>
        <w:br w:type="textWrapping"/>
      </w:r>
      <w:r>
        <w:t>• Organización de entregas.</w:t>
      </w:r>
      <w:r>
        <w:br w:type="textWrapping"/>
      </w:r>
      <w:r>
        <w:t>• Distribución a domicilio.</w:t>
      </w:r>
      <w:r>
        <w:br w:type="textWrapping"/>
      </w:r>
      <w:r>
        <w:br w:type="textWrapping"/>
      </w:r>
      <w:r>
        <w:t>3. Dirección</w:t>
      </w:r>
      <w:r>
        <w:br w:type="textWrapping"/>
      </w:r>
      <w:r>
        <w:br w:type="textWrapping"/>
      </w:r>
      <w:r>
        <w:t>Estilo de liderazgo</w:t>
      </w:r>
      <w:r>
        <w:br w:type="textWrapping"/>
      </w:r>
      <w:r>
        <w:br w:type="textWrapping"/>
      </w:r>
      <w:r>
        <w:rPr>
          <w:rFonts w:hint="default"/>
          <w:lang w:val="es-EC"/>
        </w:rPr>
        <w:tab/>
      </w:r>
      <w:r>
        <w:t>VidaFitBox aplica un liderazgo participativo, ya que fomenta la comunicación entre todos los integrantes del equipo, escucha las ideas de los colaboradores y promueve la participación en la toma de decisiones. Este estilo permite mejorar el ambiente laboral, aumentar la motivación y generar innovación constante en los productos y servicios ofrecidos.</w:t>
      </w:r>
      <w:r>
        <w:br w:type="textWrapping"/>
      </w:r>
      <w:r>
        <w:br w:type="textWrapping"/>
      </w:r>
      <w:r>
        <w:rPr>
          <w:rFonts w:hint="default"/>
          <w:lang w:val="es-EC"/>
        </w:rPr>
        <w:tab/>
      </w:r>
      <w:r>
        <w:t>Además, el gerente incentiva el trabajo en equipo, la responsabilidad y el compromiso con la satisfacción del cliente, buscando siempre mantener altos estándares de calidad.</w:t>
      </w:r>
      <w:r>
        <w:br w:type="textWrapping"/>
      </w:r>
      <w:r>
        <w:br w:type="textWrapping"/>
      </w:r>
      <w:r>
        <w:t>4. Control</w:t>
      </w:r>
      <w:r>
        <w:br w:type="textWrapping"/>
      </w:r>
      <w:r>
        <w:br w:type="textWrapping"/>
      </w:r>
      <w:r>
        <w:t>KPI 1: Ventas mensuales</w:t>
      </w:r>
      <w:r>
        <w:br w:type="textWrapping"/>
      </w:r>
      <w:r>
        <w:t>Objetivo: medir el crecimiento de las ventas.</w:t>
      </w:r>
      <w:r>
        <w:br w:type="textWrapping"/>
      </w:r>
      <w:r>
        <w:t>Meta: Vender al menos 150 cajas saludables al mes.</w:t>
      </w:r>
      <w:r>
        <w:br w:type="textWrapping"/>
      </w:r>
      <w:r>
        <w:br w:type="textWrapping"/>
      </w:r>
      <w:r>
        <w:t>KPI 2: Satisfacción del cliente</w:t>
      </w:r>
      <w:r>
        <w:br w:type="textWrapping"/>
      </w:r>
      <w:r>
        <w:t>Objetivo: evaluar la calidad del servicio.</w:t>
      </w:r>
      <w:r>
        <w:br w:type="textWrapping"/>
      </w:r>
      <w:r>
        <w:t>Meta: Alcanzar una satisfacción superior al 90% mediante encuestas.</w:t>
      </w:r>
      <w:r>
        <w:br w:type="textWrapping"/>
      </w:r>
      <w:r>
        <w:br w:type="textWrapping"/>
      </w:r>
      <w:r>
        <w:t>KPI 3: Tiempo de entrega</w:t>
      </w:r>
      <w:r>
        <w:br w:type="textWrapping"/>
      </w:r>
      <w:r>
        <w:t>Objetivo: garantizar entregas puntuales.</w:t>
      </w:r>
      <w:r>
        <w:br w:type="textWrapping"/>
      </w:r>
      <w:r>
        <w:t>Meta: Realizar el 95% de las entregas dentro del tiempo establecido.</w:t>
      </w:r>
      <w:r>
        <w:br w:type="textWrapping"/>
      </w:r>
      <w:r>
        <w:br w:type="textWrapping"/>
      </w:r>
      <w:r>
        <w:t>Herramientas digitales</w:t>
      </w:r>
      <w:r>
        <w:br w:type="textWrapping"/>
      </w:r>
      <w:r>
        <w:br w:type="textWrapping"/>
      </w:r>
      <w:r>
        <w:t>Google Analytics</w:t>
      </w:r>
      <w:r>
        <w:br w:type="textWrapping"/>
      </w:r>
      <w:r>
        <w:rPr>
          <w:rFonts w:hint="default"/>
          <w:lang w:val="es-EC"/>
        </w:rPr>
        <w:tab/>
      </w:r>
      <w:r>
        <w:t>Permite analizar el tráfico de la página web, conocer el comportamiento de los visitantes y medir el rendimiento de las campañas digitales.</w:t>
      </w:r>
      <w:r>
        <w:br w:type="textWrapping"/>
      </w:r>
      <w:r>
        <w:br w:type="textWrapping"/>
      </w:r>
      <w:r>
        <w:t>Meta Business Suite</w:t>
      </w:r>
      <w:r>
        <w:br w:type="textWrapping"/>
      </w:r>
      <w:r>
        <w:rPr>
          <w:rFonts w:hint="default"/>
          <w:lang w:val="es-EC"/>
        </w:rPr>
        <w:tab/>
      </w:r>
      <w:r>
        <w:t>Facilita la administración de Facebook e Instagram, la programación de publicaciones, la respuesta a mensajes y el seguimiento del desempeño de los anuncios publicitarios.</w:t>
      </w:r>
      <w:r>
        <w:br w:type="textWrapping"/>
      </w:r>
      <w:r>
        <w:br w:type="textWrapping"/>
      </w:r>
      <w:r>
        <w:t>5. Responsabilidad Social Empresarial (RSE)</w:t>
      </w:r>
      <w:r>
        <w:br w:type="textWrapping"/>
      </w:r>
      <w:r>
        <w:br w:type="textWrapping"/>
      </w:r>
      <w:r>
        <w:t>Acción de RSE</w:t>
      </w:r>
      <w:r>
        <w:br w:type="textWrapping"/>
      </w:r>
      <w:r>
        <w:br w:type="textWrapping"/>
      </w:r>
      <w:r>
        <w:rPr>
          <w:rFonts w:hint="default"/>
          <w:lang w:val="es-EC"/>
        </w:rPr>
        <w:tab/>
      </w:r>
      <w:r>
        <w:t>VidaFitBox implementará un programa de empaques ecológicos y reducción del desperdicio de alimentos. Todas las cajas serán elaboradas con materiales reciclables o biodegradables y se optimizará la planificación de producción para evitar desperdicios. Además, los excedentes de alimentos en buen estado podrán donarse a organizaciones sociales de la comunidad.</w:t>
      </w:r>
      <w:r>
        <w:br w:type="textWrapping"/>
      </w:r>
      <w:r>
        <w:br w:type="textWrapping"/>
      </w:r>
      <w:r>
        <w:t>Con esta acción, la empresa contribuye al cuidado del medio ambiente, promueve el consumo responsable y fortalece su compromiso con el bienestar de la sociedad.</w:t>
      </w:r>
      <w:r>
        <w:br w:type="textWrapping"/>
      </w:r>
      <w:r>
        <w:br w:type="textWrapping"/>
      </w:r>
      <w:r>
        <w:t>6. Conclusión</w:t>
      </w:r>
      <w:r>
        <w:br w:type="textWrapping"/>
      </w:r>
      <w:r>
        <w:br w:type="textWrapping"/>
      </w:r>
      <w:r>
        <w:rPr>
          <w:rFonts w:hint="default"/>
          <w:lang w:val="es-EC"/>
        </w:rPr>
        <w:tab/>
      </w:r>
      <w:bookmarkStart w:id="0" w:name="_GoBack"/>
      <w:bookmarkEnd w:id="0"/>
      <w:r>
        <w:t>VidaFitBox es un emprendimiento innovador que busca satisfacer la creciente demanda de alimentación saludable mediante productos de calidad y un servicio personalizado. Su modelo de negocio integra una adecuada planificación administrativa, estrategias de marketing digital, indicadores de desempeño y acciones de responsabilidad social empresarial, lo que favorece su crecimiento sostenible y la generación de valor tanto para los clientes como para la comunidad.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4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2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7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3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5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9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23EF2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2">
    <w:name w:val="heading 1"/>
    <w:basedOn w:val="1"/>
    <w:next w:val="1"/>
    <w:link w:val="40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41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42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52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53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54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55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56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57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mphasis"/>
    <w:basedOn w:val="11"/>
    <w:qFormat/>
    <w:uiPriority w:val="20"/>
    <w:rPr>
      <w:i/>
      <w:iCs/>
    </w:rPr>
  </w:style>
  <w:style w:type="character" w:styleId="14">
    <w:name w:val="Strong"/>
    <w:basedOn w:val="11"/>
    <w:qFormat/>
    <w:uiPriority w:val="22"/>
    <w:rPr>
      <w:b/>
      <w:bCs/>
    </w:rPr>
  </w:style>
  <w:style w:type="paragraph" w:styleId="15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7">
    <w:name w:val="macro"/>
    <w:link w:val="49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8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19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0">
    <w:name w:val="Body Text 2"/>
    <w:basedOn w:val="1"/>
    <w:link w:val="47"/>
    <w:unhideWhenUsed/>
    <w:uiPriority w:val="99"/>
    <w:pPr>
      <w:spacing w:after="120" w:line="480" w:lineRule="auto"/>
    </w:pPr>
  </w:style>
  <w:style w:type="paragraph" w:styleId="21">
    <w:name w:val="List 3"/>
    <w:basedOn w:val="1"/>
    <w:unhideWhenUsed/>
    <w:uiPriority w:val="99"/>
    <w:pPr>
      <w:ind w:left="1080" w:hanging="360"/>
      <w:contextualSpacing/>
    </w:pPr>
  </w:style>
  <w:style w:type="paragraph" w:styleId="22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23">
    <w:name w:val="header"/>
    <w:basedOn w:val="1"/>
    <w:link w:val="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4">
    <w:name w:val="List Number 3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25">
    <w:name w:val="List Number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6">
    <w:name w:val="List 2"/>
    <w:basedOn w:val="1"/>
    <w:unhideWhenUsed/>
    <w:uiPriority w:val="99"/>
    <w:pPr>
      <w:ind w:left="720" w:hanging="360"/>
      <w:contextualSpacing/>
    </w:pPr>
  </w:style>
  <w:style w:type="paragraph" w:styleId="27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28">
    <w:name w:val="List"/>
    <w:basedOn w:val="1"/>
    <w:unhideWhenUsed/>
    <w:uiPriority w:val="99"/>
    <w:pPr>
      <w:ind w:left="360" w:hanging="360"/>
      <w:contextualSpacing/>
    </w:pPr>
  </w:style>
  <w:style w:type="paragraph" w:styleId="29">
    <w:name w:val="List Bullet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30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31">
    <w:name w:val="footer"/>
    <w:basedOn w:val="1"/>
    <w:link w:val="3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32">
    <w:name w:val="Subtitle"/>
    <w:basedOn w:val="1"/>
    <w:next w:val="1"/>
    <w:link w:val="4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33">
    <w:name w:val="Body Text"/>
    <w:basedOn w:val="1"/>
    <w:link w:val="46"/>
    <w:unhideWhenUsed/>
    <w:uiPriority w:val="99"/>
    <w:pPr>
      <w:spacing w:after="120"/>
    </w:pPr>
  </w:style>
  <w:style w:type="paragraph" w:styleId="34">
    <w:name w:val="Body Text 3"/>
    <w:basedOn w:val="1"/>
    <w:link w:val="48"/>
    <w:unhideWhenUsed/>
    <w:uiPriority w:val="99"/>
    <w:pPr>
      <w:spacing w:after="120"/>
    </w:pPr>
    <w:rPr>
      <w:sz w:val="16"/>
      <w:szCs w:val="16"/>
    </w:rPr>
  </w:style>
  <w:style w:type="paragraph" w:styleId="35">
    <w:name w:val="Title"/>
    <w:basedOn w:val="1"/>
    <w:next w:val="1"/>
    <w:link w:val="43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6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7">
    <w:name w:val="Header Char"/>
    <w:basedOn w:val="11"/>
    <w:link w:val="23"/>
    <w:qFormat/>
    <w:uiPriority w:val="99"/>
  </w:style>
  <w:style w:type="character" w:customStyle="1" w:styleId="38">
    <w:name w:val="Footer Char"/>
    <w:basedOn w:val="11"/>
    <w:link w:val="31"/>
    <w:uiPriority w:val="99"/>
  </w:style>
  <w:style w:type="paragraph" w:styleId="39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40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41">
    <w:name w:val="Heading 2 Char"/>
    <w:basedOn w:val="11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42">
    <w:name w:val="Heading 3 Char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3">
    <w:name w:val="Title Char"/>
    <w:basedOn w:val="11"/>
    <w:link w:val="35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44">
    <w:name w:val="Subtitle Char"/>
    <w:basedOn w:val="11"/>
    <w:link w:val="32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45">
    <w:name w:val="List Paragraph"/>
    <w:basedOn w:val="1"/>
    <w:qFormat/>
    <w:uiPriority w:val="34"/>
    <w:pPr>
      <w:ind w:left="720"/>
      <w:contextualSpacing/>
    </w:pPr>
  </w:style>
  <w:style w:type="character" w:customStyle="1" w:styleId="46">
    <w:name w:val="Body Text Char"/>
    <w:basedOn w:val="11"/>
    <w:link w:val="33"/>
    <w:uiPriority w:val="99"/>
  </w:style>
  <w:style w:type="character" w:customStyle="1" w:styleId="47">
    <w:name w:val="Body Text 2 Char"/>
    <w:basedOn w:val="11"/>
    <w:link w:val="20"/>
    <w:uiPriority w:val="99"/>
  </w:style>
  <w:style w:type="character" w:customStyle="1" w:styleId="48">
    <w:name w:val="Body Text 3 Char"/>
    <w:basedOn w:val="11"/>
    <w:link w:val="34"/>
    <w:uiPriority w:val="99"/>
    <w:rPr>
      <w:sz w:val="16"/>
      <w:szCs w:val="16"/>
    </w:rPr>
  </w:style>
  <w:style w:type="character" w:customStyle="1" w:styleId="49">
    <w:name w:val="Macro Text Char"/>
    <w:basedOn w:val="11"/>
    <w:link w:val="17"/>
    <w:uiPriority w:val="99"/>
    <w:rPr>
      <w:rFonts w:ascii="Courier" w:hAnsi="Courier"/>
      <w:sz w:val="20"/>
      <w:szCs w:val="20"/>
    </w:rPr>
  </w:style>
  <w:style w:type="paragraph" w:styleId="50">
    <w:name w:val="Quote"/>
    <w:basedOn w:val="1"/>
    <w:next w:val="1"/>
    <w:link w:val="51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1">
    <w:name w:val="Quote Char"/>
    <w:basedOn w:val="11"/>
    <w:link w:val="50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2">
    <w:name w:val="Heading 4 Char"/>
    <w:basedOn w:val="11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3">
    <w:name w:val="Heading 5 Char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54">
    <w:name w:val="Heading 6 Char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55">
    <w:name w:val="Heading 7 Char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6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57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58">
    <w:name w:val="Intense Quote"/>
    <w:basedOn w:val="1"/>
    <w:next w:val="1"/>
    <w:link w:val="59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9">
    <w:name w:val="Intense Quote Char"/>
    <w:basedOn w:val="11"/>
    <w:link w:val="58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0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61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2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63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64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65">
    <w:name w:val="TOC Heading"/>
    <w:basedOn w:val="2"/>
    <w:next w:val="1"/>
    <w:semiHidden/>
    <w:unhideWhenUsed/>
    <w:qFormat/>
    <w:uiPriority w:val="39"/>
    <w:pPr>
      <w:outlineLvl w:val="9"/>
    </w:pPr>
  </w:style>
  <w:style w:type="table" w:styleId="66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67">
    <w:name w:val="Light Shading Accent 1"/>
    <w:basedOn w:val="1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68">
    <w:name w:val="Light Shading Accent 2"/>
    <w:basedOn w:val="1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69">
    <w:name w:val="Light Shading Accent 3"/>
    <w:basedOn w:val="1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70">
    <w:name w:val="Light Shading Accent 4"/>
    <w:basedOn w:val="1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71">
    <w:name w:val="Light Shading Accent 5"/>
    <w:basedOn w:val="1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72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73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74">
    <w:name w:val="Light List Accent 1"/>
    <w:basedOn w:val="1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75">
    <w:name w:val="Light List Accent 2"/>
    <w:basedOn w:val="1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76">
    <w:name w:val="Light List Accent 3"/>
    <w:basedOn w:val="1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77">
    <w:name w:val="Light List Accent 4"/>
    <w:basedOn w:val="1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78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79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80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81">
    <w:name w:val="Light Grid Accent 1"/>
    <w:basedOn w:val="1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82">
    <w:name w:val="Light Grid Accent 2"/>
    <w:basedOn w:val="1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83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84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85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86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87">
    <w:name w:val="Medium Shading 1"/>
    <w:basedOn w:val="1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88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89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0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1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2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3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4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5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6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7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8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9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0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1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shd w:val="clear" w:color="auto" w:fill="BFBFBF" w:themeFill="text1" w:themeFillTint="3F"/>
      </w:tcPr>
    </w:tblStylePr>
  </w:style>
  <w:style w:type="table" w:styleId="102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shd w:val="clear" w:color="auto" w:fill="D3DFEE" w:themeFill="accent1" w:themeFillTint="3F"/>
      </w:tcPr>
    </w:tblStylePr>
  </w:style>
  <w:style w:type="table" w:styleId="103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shd w:val="clear" w:color="auto" w:fill="EFD3D3" w:themeFill="accent2" w:themeFillTint="3F"/>
      </w:tcPr>
    </w:tblStylePr>
  </w:style>
  <w:style w:type="table" w:styleId="104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shd w:val="clear" w:color="auto" w:fill="E6EED5" w:themeFill="accent3" w:themeFillTint="3F"/>
      </w:tcPr>
    </w:tblStylePr>
  </w:style>
  <w:style w:type="table" w:styleId="105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shd w:val="clear" w:color="auto" w:fill="DFD8E8" w:themeFill="accent4" w:themeFillTint="3F"/>
      </w:tcPr>
    </w:tblStylePr>
  </w:style>
  <w:style w:type="table" w:styleId="106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shd w:val="clear" w:color="auto" w:fill="D2EAF0" w:themeFill="accent5" w:themeFillTint="3F"/>
      </w:tcPr>
    </w:tblStylePr>
  </w:style>
  <w:style w:type="table" w:styleId="107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shd w:val="clear" w:color="auto" w:fill="FDE5D1" w:themeFill="accent6" w:themeFillTint="3F"/>
      </w:tcPr>
    </w:tblStylePr>
  </w:style>
  <w:style w:type="table" w:styleId="108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09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0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1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2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3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4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5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16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17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18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19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20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21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  <w:style w:type="table" w:styleId="122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3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4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5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6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7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8">
    <w:name w:val="Medium Grid 2 Accent 6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9">
    <w:name w:val="Medium Grid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30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31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32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33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34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35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36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37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38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39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40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41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42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43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4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5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cPr>
        <w:shd w:val="clear" w:color="auto" w:fill="E5B8B7" w:themeFill="accent2" w:themeFillTint="66"/>
      </w:tcPr>
    </w:tblStylePr>
    <w:tblStylePr w:type="band1Horz"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6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cPr>
        <w:shd w:val="clear" w:color="auto" w:fill="D6E3BC" w:themeFill="accent3" w:themeFillTint="66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47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cPr>
        <w:shd w:val="clear" w:color="auto" w:fill="CCC0D9" w:themeFill="accent4" w:themeFillTint="66"/>
      </w:tcPr>
    </w:tblStylePr>
    <w:tblStylePr w:type="band1Horz"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8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cPr>
        <w:shd w:val="clear" w:color="auto" w:fill="B6DDE8" w:themeFill="accent5" w:themeFillTint="66"/>
      </w:tcPr>
    </w:tblStylePr>
    <w:tblStylePr w:type="band1Horz"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9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cPr>
        <w:shd w:val="clear" w:color="auto" w:fill="FBD4B4" w:themeFill="accent6" w:themeFillTint="66"/>
      </w:tcPr>
    </w:tblStylePr>
    <w:tblStylePr w:type="band1Horz"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50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shd w:val="clear" w:color="auto" w:fill="CCCCCC" w:themeFill="text1" w:themeFillTint="33"/>
      </w:tcPr>
    </w:tblStylePr>
  </w:style>
  <w:style w:type="table" w:styleId="151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shd w:val="clear" w:color="auto" w:fill="DBE5F1" w:themeFill="accent1" w:themeFillTint="33"/>
      </w:tcPr>
    </w:tblStylePr>
  </w:style>
  <w:style w:type="table" w:styleId="152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shd w:val="clear" w:color="auto" w:fill="F2DBDB" w:themeFill="accent2" w:themeFillTint="33"/>
      </w:tcPr>
    </w:tblStylePr>
  </w:style>
  <w:style w:type="table" w:styleId="153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shd w:val="clear" w:color="auto" w:fill="EAF1DD" w:themeFill="accent3" w:themeFillTint="33"/>
      </w:tcPr>
    </w:tblStylePr>
  </w:style>
  <w:style w:type="table" w:styleId="154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shd w:val="clear" w:color="auto" w:fill="E5DFEC" w:themeFill="accent4" w:themeFillTint="33"/>
      </w:tcPr>
    </w:tblStylePr>
  </w:style>
  <w:style w:type="table" w:styleId="155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shd w:val="clear" w:color="auto" w:fill="DAEEF3" w:themeFill="accent5" w:themeFillTint="33"/>
      </w:tcPr>
    </w:tblStylePr>
  </w:style>
  <w:style w:type="table" w:styleId="156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shd w:val="clear" w:color="auto" w:fill="FDE9D9" w:themeFill="accent6" w:themeFillTint="33"/>
      </w:tcPr>
    </w:tblStylePr>
  </w:style>
  <w:style w:type="table" w:styleId="157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58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59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60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61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62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63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743</Words>
  <Characters>4519</Characters>
  <Lines>0</Lines>
  <Paragraphs>0</Paragraphs>
  <TotalTime>15</TotalTime>
  <ScaleCrop>false</ScaleCrop>
  <LinksUpToDate>false</LinksUpToDate>
  <CharactersWithSpaces>5188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Nikof</cp:lastModifiedBy>
  <dcterms:modified xsi:type="dcterms:W3CDTF">2026-07-09T02:39:58Z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eyJoZGlkIjoiYTExY2VmYTZkZWVhMWE0MjBhYzdmZWFhYWE4Njg3ZjgifQ==</vt:lpwstr>
  </property>
  <property fmtid="{D5CDD505-2E9C-101B-9397-08002B2CF9AE}" pid="3" name="KSOProductBuildVer">
    <vt:lpwstr>2058-12.1.0.26880</vt:lpwstr>
  </property>
  <property fmtid="{D5CDD505-2E9C-101B-9397-08002B2CF9AE}" pid="4" name="ICV">
    <vt:lpwstr>A55509E72B3946348368DEFCEE35D856_13</vt:lpwstr>
  </property>
</Properties>
</file>